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76</w:t>
      </w:r>
    </w:p>
    <w:p>
      <w:r>
        <w:t>Bundesgericht (BGE), 1982-05-19, DE</w:t>
      </w:r>
    </w:p>
    <w:p>
      <w:r>
        <w:rPr>
          <w:b/>
        </w:rPr>
        <w:t xml:space="preserve">Quelle: </w:t>
      </w:r>
      <w:r>
        <w:t>https://mcp.opencaselaw.ch/entscheid/bge_108 IV 76</w:t>
      </w:r>
    </w:p>
    <w:p>
      <w:r>
        <w:t>FR: ATF 108 IV 76</w:t>
      </w:r>
    </w:p>
    <w:p>
      <w:r>
        <w:t>IT: DTF 108 IV 76</w:t>
      </w:r>
    </w:p>
    <w:p>
      <w:pPr>
        <w:pStyle w:val="Heading2"/>
      </w:pPr>
      <w:r>
        <w:t>Regeste</w:t>
      </w:r>
    </w:p>
    <w:p>
      <w:r>
        <w:t>Regeste Art. 50 Abs. 1 und 3 VStrR. Durchsuchung. Papieren i.S. von Art. 50 VStrR sind andere Informationsträger (z.B. Filme, Tonbänder) gleichgestellt.</w:t>
      </w:r>
    </w:p>
    <w:p>
      <w:pPr>
        <w:pStyle w:val="Heading2"/>
      </w:pPr>
      <w:r>
        <w:t>Erwägungen</w:t>
      </w:r>
    </w:p>
    <w:p>
      <w:r>
        <w:rPr>
          <w:b/>
        </w:rPr>
        <w:t>E. 1</w:t>
      </w:r>
    </w:p>
    <w:p>
      <w:r>
        <w:t>Nach Art. 50 VStrR sind Papiere mit grösster Schonung der Privatgeheimnisse zu durchsuchen; insbesondere sollen sie nur dann durchsucht werden, wenn anzunehmen ist, dass sich Schriften darunter befinden, die für die Untersuchung von Bedeutung sind (Abs. 1). Erhebt der Inhaber der Papiere gegen die Durchsuchung Einsprache, so werden sie versiegelt und verwahrt, und es entscheidet die Anklagekammer des Bundesgerichts über die Zulässigkeit der Durchsuchung (Abs. 3). Diese Bestimmungen sprechen ausdrücklich nur von Papieren, deren Versiegelung der Inhaber zum Schutz seiner Privatgeheimnisse verlangen kann und über deren Entsiegelung die Anklagekammer zu entscheiden hat. Es entspricht jedoch dem Sinn des Gesetzes, Papieren andere Informationsträger wie Filme, Tonbänder u.ä. gleichzustellen, da sie wie jene Privatgeheimnisse enthalten können und deshalb ihre Durchsuchung solche Geheimnisse verletzen kann. Die genannten Vorschriften sind deshalb auf solche Informationsträger analog anzuwenden.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